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468" w:rsidRPr="004C3468" w:rsidRDefault="004C3468" w:rsidP="004C3468">
      <w:pPr>
        <w:spacing w:after="0" w:line="192" w:lineRule="auto"/>
        <w:jc w:val="center"/>
        <w:outlineLvl w:val="0"/>
        <w:rPr>
          <w:rFonts w:ascii="Meiryo" w:eastAsia="Meiryo" w:hAnsi="Meiryo" w:cs="Meiryo"/>
          <w:kern w:val="36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kern w:val="36"/>
          <w:sz w:val="18"/>
          <w:szCs w:val="18"/>
          <w:lang w:eastAsia="hu-HU"/>
        </w:rPr>
        <w:t>Almásháza község Önkormányzati Képviselő-testületének 1/2019.(II.18.) önkormányzati rendelete</w:t>
      </w:r>
    </w:p>
    <w:p w:rsidR="004C3468" w:rsidRDefault="004C3468" w:rsidP="004F61F6">
      <w:pPr>
        <w:spacing w:after="0" w:line="192" w:lineRule="auto"/>
        <w:jc w:val="center"/>
        <w:outlineLvl w:val="1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4C3468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településkép védelméről</w:t>
      </w:r>
    </w:p>
    <w:p w:rsidR="004F61F6" w:rsidRPr="004C3468" w:rsidRDefault="004F61F6" w:rsidP="004F61F6">
      <w:pPr>
        <w:spacing w:after="0" w:line="192" w:lineRule="auto"/>
        <w:jc w:val="center"/>
        <w:outlineLvl w:val="1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 </w:t>
      </w:r>
      <w:bookmarkStart w:id="0" w:name="_GoBack"/>
      <w:bookmarkEnd w:id="0"/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Almásháza Község Önkormányzata Képviselő-testülete a településkép védelméről szóló </w:t>
      </w:r>
      <w:hyperlink r:id="rId5" w:anchor="SZ12@BE2@POA" w:tgtFrame="_blank" w:history="1">
        <w:r w:rsidRPr="004C3468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2016. évi LXXIV. törvény 12. § (2) bekezdésének a)-h) pont</w:t>
        </w:r>
      </w:hyperlink>
      <w:r w:rsidRPr="004C3468">
        <w:rPr>
          <w:rFonts w:ascii="Meiryo" w:eastAsia="Meiryo" w:hAnsi="Meiryo" w:cs="Meiryo"/>
          <w:sz w:val="18"/>
          <w:szCs w:val="18"/>
          <w:lang w:eastAsia="hu-HU"/>
        </w:rPr>
        <w:t>jaiban kapott felhatalmazás alapján, </w:t>
      </w:r>
      <w:hyperlink r:id="rId6" w:anchor="CA32@BE1@POA" w:tgtFrame="_blank" w:history="1">
        <w:r w:rsidRPr="004C3468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az Alaptörvény 32. cikk (1) bekezdés a) pont</w:t>
        </w:r>
      </w:hyperlink>
      <w:r w:rsidRPr="004C3468">
        <w:rPr>
          <w:rFonts w:ascii="Meiryo" w:eastAsia="Meiryo" w:hAnsi="Meiryo" w:cs="Meiryo"/>
          <w:sz w:val="18"/>
          <w:szCs w:val="18"/>
          <w:lang w:eastAsia="hu-HU"/>
        </w:rPr>
        <w:t>jában meghatározott feladatkörében eljárva a következő rendeletet alkotja: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I. Fejezet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Általános rendelkezések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1. A rendelet hatálya és alkalmazása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E rendelet területi hatálya Almásháza Község közigazgatási területére terjed ki.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E rendelet előírásait Almásháza Község Önkormányzat (a továbbiakban: Önkormányzat) Képviselő-testülete által elfogadott településrendezési eszközökkel együtt kell alkalmazni.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2. Értelmező rendelkezések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3. §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E rendelet alkalmazásában: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1. </w:t>
      </w: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Áttört kerítés: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olyan kerítés, amelynek a kerítés síkjára merőleges átláthatósága 50%-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nál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nagyobb mértékben nem korlátozott.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2. </w:t>
      </w: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Cégtábla: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a cég nevét és székhelyét feltüntető tábla.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3. </w:t>
      </w: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Címtábla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: az intézmény, vállalkozás nevét, vagy egyéb adatait feltüntető tábla.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4. </w:t>
      </w: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Fényreklám: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 tartószerkezeten elhelyezett,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reklám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megjelenítésére alkalmas led panel, videófal, monitor.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5. </w:t>
      </w: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Földszínek: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tört, meleg színek, melyek a barna-vörös-narancs-sárga-zöldessárga színtartomány közepesen telített árnyalatai.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6. </w:t>
      </w: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Hirdető-berendezés: 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hirdetések,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reklámok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elhelyezésére szolgáló, fixen rögzített vagy mozgó, közterületről érzékelhető szerkezet, mely képi, illetve hang effektusok megjelenítésére, valamint információk tárolására is alkalmas.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7. </w:t>
      </w:r>
      <w:proofErr w:type="gramStart"/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Információs</w:t>
      </w:r>
      <w:proofErr w:type="gramEnd"/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 xml:space="preserve"> célú berendezés: 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az önkormányzati hirdetőtábla, az önkormányzati faliújság, az információs vitrin, az útbaigazító hirdetmény, a közérdekű molinó, valamint a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CityLight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és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CityBoard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formátumú eszköz.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8. </w:t>
      </w: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Más célú berendezés: 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elsődleges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funkcióját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tekintve közterületi, köztéri bútor, különösen a pad, a kerékpárállvány, a hulladékgyűjtő, a telefonfülke, a reklámfelületet is tartalmazó, közterület fölé nyúló árnyékoló berendezés, korlát.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9. </w:t>
      </w: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Pasztellszín: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a színek világos, kis telítettségű árnyalatai, melyek között előnyben kell részesíteni a meleg árnyalatokat, mint a bézs, narancs, sárga, barna, vörös árnyalatai.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10. </w:t>
      </w: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Rikító szín: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nagy telítettségű, élénk, erőteljes, figyelemfelkeltő színek.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11. </w:t>
      </w: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Védett érték: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helyi egyedi védelem alatt álló épület, építmény, építményrész, egyéb elem.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II. Fejezet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A helyi védelem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3. A helyi védelem célja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4. §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 helyi védelem célja Almásháza Község településképe és történelme szempontjából meghatározó, hagyományt őrző építészeti örökségeinek védelme, a jövő nemzedékek számára történő megóvása.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 helyi értékvédelem feladata a különleges oltalmat igénylő értékek számbavétele, meghatározása, nyilvántartása, dokumentálása, valamint a nyilvánossággal történő megismertetése.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4. A helyi védelem fajtái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5. §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Az építészeti értékek helyi védelme egyedi és területi lehet.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Az egyedi védelem kiterjedhet: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) az épület, építmény egészére, vagy egy részére,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b) az épület, építmény egészéhez vagy annak egy részéhez tartozó földrészletre,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(3) A területi védelem kiterjedhet: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) az épített környezet olyan összefüggő részére, amely a jellegzetes településszerkezet történelmi folyamatosságát képviseli,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b) olyan településrészre, térre, utcára, utcaszakaszra, ahol a település és a környék arculatát meghatározó építmények együttest alkotnak;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c) a helyileg védett építmény környezetére.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5. A helyi védelem alá helyezés, valamint megszüntetés szabályai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6. §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 helyi építészeti örökség értékeinek feltárása, számbavétele, védetté nyilvánítása, fenntartása, fejlesztése, őrzése, védelmének biztosítása a települési önkormányzat feladata.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lastRenderedPageBreak/>
        <w:t>(2) A helyi védelem alá helyezést vagy annak megszüntetését bármely természetes személy, jogi személy, jogi személyiséggel nem rendelkező szervezet - írásban - a polgármesternél kezdeményezheti.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(3) A helyi védelem alá helyezésre vonatkozó kezdeményezésnek tartalmaznia kell: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) a védelemre javasolt érték megnevezését,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aa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>) egyedi védelem esetén címét, helyrajzi számát,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ab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) területi védelem esetén a terület lehatárolását a helyrajzi számok megjelölésével,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b) a védelem jellegével kapcsolatos javaslatot,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c) a kezdeményezés rövid indokolását,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d) a védendő érték fotódokumentációját, helyszínrajzát,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e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) a kezdeményező nevét, megnevezését, lakcímét, székhelyét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(4) A helyi védelem megszüntetésre vonatkozó kezdeményezésnek tartalmaznia kell: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) a védelem alatt álló érték megnevezését,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aa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>) egyedi védelem esetén címét, helyrajzi számát,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ab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) területi védelem esetén a terület lehatárolását a helyrajzi számok megjelölésével,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b) a védelem alatt álló érték nyilvántartási számát,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c) a védelem törlésével kapcsolatos javaslat rövid indokolását,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d) a védett érték felmérési és fotódokumentációját,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e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) a kezdeményező nevét, megnevezését, lakcímét, székhelyét.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(5) A védelem megszűnik, ha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) a védett érték helyrehozhatatlanul megsemmisül;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b) a védett érték magasabb jogszabályi védettséget kap;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c) a Képviselő-testület a helyi védelmet megszünteti.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(6) A helyi védelem alá helyezésről, annak módosításáról, vagy megszüntetéséről értesíteni kell: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) az érintett ingatlan tulajdonosát (tulajdonosait) postai úton,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b) műalkotás esetén az élő alkotót, vagy a szerzői jog jogosultját,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c) a kezdeményezőket.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7. §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 helyi egyedi védelem alá helyezett építmény, közterülettel határos építményrészlet, alkotás, utcabútor csak egységes megjelenésű táblával jelölhető meg, amelynek a védelem tárgyának megnevezése mellett a következő szöveget kell tartalmaznia: </w:t>
      </w: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„Almásháza Község Önkormányzata által védetté nyilvánított helyi érték - évszám”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. A tábla anyaga kő, fa, vagy fém.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 tábla elkészíttetéséről, elhelyezéséről a polgármester gondoskodik. A tábla elhelyezését az érintett ingatlan tulajdonosa tűrni köteles. A tábla elhelyezése, fenntartása és pótlása az önkormányzat feladata.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(3) A helyi védettség tényét közlő táblán kívül az önkormányzat elhelyezhet egyéb a védettséggel összefüggő tényt, adatot is közlő táblát a helyi védelem alatt álló építményen, vagy annak környezetében. A tábla elhelyezése, fenntartása és pótlása az önkormányzat feladata.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6. A helyi védelem alatt álló értékek nyilvántartása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8. §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 helyi védelem alá helyezett értékekről (a továbbiakban: védett érték) az önkormányzat nyilvántartást vezet, amelybe bárki betekinthet.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 nyilvántartás naprakész vezetéséről a jegyző gondoskodik.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7. A védettséghez kapcsolódó tulajdonosi kötelezettségek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9. §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 védett érték karbantartása, állapotának megóvása a tulajdonos kötelezettsége.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 védett érték megfelelő fenntartását és megőrzését elsősorban a rendeltetésnek megfelelő használattal kell biztosítani.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8. A településképi önkormányzati támogatás és ösztönző rendszer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10. §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 (1) A védett érték tulajdonosának kérésére a szokásos jó karban tartási feladatokon túlmenő, a védettséggel összefüggésben szükségessé váló, a tulajdonost terhelő munkálatok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finanszírozásához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az önkormányzat támogatást adhat.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 támogatás mértékét az önkormányzat Képviselő-testülete évente a költségvetésben határozza meg.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(3) Az </w:t>
      </w:r>
      <w:hyperlink r:id="rId7" w:anchor="SZ10@BE1" w:history="1">
        <w:r w:rsidRPr="004C3468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(1) bekezdés</w:t>
        </w:r>
      </w:hyperlink>
      <w:r w:rsidRPr="004C3468">
        <w:rPr>
          <w:rFonts w:ascii="Meiryo" w:eastAsia="Meiryo" w:hAnsi="Meiryo" w:cs="Meiryo"/>
          <w:sz w:val="18"/>
          <w:szCs w:val="18"/>
          <w:lang w:eastAsia="hu-HU"/>
        </w:rPr>
        <w:t> szerinti önkormányzati támogatás csak az esetben nyújtható, ha: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) a védett értéket a tulajdonos megfelelő módon fenntartja (karbantartja), azt neki felróható módon nem károsítja,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b) a karbantartással és az építéssel összefüggő előírásokat és szabályokat maradéktalanul betartja,</w:t>
      </w:r>
    </w:p>
    <w:p w:rsid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c) a tényleges munka szabályszerűen kerül elvégzésre.</w:t>
      </w:r>
    </w:p>
    <w:p w:rsidR="00C86AAD" w:rsidRDefault="00C86AAD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</w:p>
    <w:p w:rsidR="00C86AAD" w:rsidRDefault="00C86AAD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</w:p>
    <w:p w:rsidR="00C86AAD" w:rsidRDefault="00C86AAD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</w:p>
    <w:p w:rsidR="00C86AAD" w:rsidRPr="004C3468" w:rsidRDefault="00C86AAD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III. Fejezet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Településképi szempontból meghatározó területek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9. Almásháza Község településkép szempontjából meghatározó területei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11. §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Az önkormányzat a településkép szempontjából meghatározó területekként jelöli ki Almásháza Község teljes közigazgatási területét az alábbiak szerint: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a) Falusias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karakterű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terület,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b) Kertes terület,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c) Külterület.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 településképi szempontból meghatározó területek lehatárolását az </w:t>
      </w:r>
      <w:hyperlink r:id="rId8" w:anchor="ME1" w:history="1">
        <w:r w:rsidRPr="004C3468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1. melléklet</w:t>
        </w:r>
      </w:hyperlink>
      <w:r w:rsidRPr="004C3468">
        <w:rPr>
          <w:rFonts w:ascii="Meiryo" w:eastAsia="Meiryo" w:hAnsi="Meiryo" w:cs="Meiryo"/>
          <w:sz w:val="18"/>
          <w:szCs w:val="18"/>
          <w:lang w:eastAsia="hu-HU"/>
        </w:rPr>
        <w:t> tartalmazza.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(3) Településképi szempontból kiemelt területek: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) Örökségvédelemmel érintett területek,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b) Táj- és természetvédelem alatt álló területek.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(4) A településképi szempontból kiemelt területek lehatárolását és felsorolását az 1. függelék tartalmazza.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IV. Fejezet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Településképi követelmények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10. Településképi szempontból meghatározó területeken az építmények anyaghasználatára vonatkozó építészeti követelmények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12. §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 község közigazgatási területén az épületek külső megjelenésében kerülendők a feltűnő, tájidegen építési elemek, a harsány, rikító színek.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Az utcaképben közvetlenül megjelenő épületek, építmények tetőfedésére hullámpala, műanyag hullámlemez, műanyag síklemez nem alkalmazható.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(3) A harsány színű, faluképbe nem illő tetőfedő anyag alkalmazása nem engedhető meg.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(4) Homlokzatokon és tetőhéjazatként zavaró fényhatást okozó, tükröződő felületek nem alkalmazhatók.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(5) Az épületek homlokzatainak, nyílászáróinak színezésére rikító színek használata településkép-védelmi szempontból nem megengedett.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(6) Az ingatlanok kerítéseinek színezésére rikító színek nem alkalmazhatók.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11. Településképi szempontból meghatározó területekre vonatkozó területi építészeti követelmények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13. §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 településkép védelme érdekében új lakóépületek telepítésénél a meglevő beépítéshez és építészeti kialakításhoz kell illeszkedni.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 10 m-nél magasabb építményeket a környezethez (a domborzati és növényi adottságokhoz) illeszkedően kell elhelyezni.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12. Településképi szempontból meghatározó területekre vonatkozó egyedi építészeti követelmények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14. §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 </w:t>
      </w:r>
      <w:hyperlink r:id="rId9" w:anchor="SZ11@BE1@POA" w:history="1">
        <w:r w:rsidRPr="004C3468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11. § (1) bekezdés a) pont</w:t>
        </w:r>
      </w:hyperlink>
      <w:r w:rsidRPr="004C3468">
        <w:rPr>
          <w:rFonts w:ascii="Meiryo" w:eastAsia="Meiryo" w:hAnsi="Meiryo" w:cs="Meiryo"/>
          <w:sz w:val="18"/>
          <w:szCs w:val="18"/>
          <w:lang w:eastAsia="hu-HU"/>
        </w:rPr>
        <w:t>jában meghatározott területen csak olyan településképi és építészeti szempontból igényes - elsősorban egyedi tervezésű - építmények építhetők, amelyeket a telek adottságainak, a környezetük jellegének, a rendeltetésük követelményeinek, az építőanyagok sajátosságainak megfelelően alakítottak ki.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Épületek kialakításánál a településre jellemző építészeti megoldások alkalmazhatók.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(3) Az épületek tetőzete a hagyományos formákhoz igazodó,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magastetős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konstrukcióban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készülhet.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(4) A tető hajlásszöge 30°-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nál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alacsonyabb, 45°-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nál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meredekebb nem lehet.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(5) A lakóépülettől különálló épület (gazdasági épület) – kialakult állapot kivételével – legfeljebb 3,5 m homlokzatmagasságú, a lakóépülettel összhangban lévő, ahhoz harmonikusan illeszkedő építészeti kialakítású lehet.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(6) Tetőhéjazatként cserépfedés, vagy sötét tónusú kiselemes hatású fedés alkalmazható. Torony, előtető, télikert fedése a fent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rögzítettől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eltérően is kialakítható.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(7) A temető területén az épületek lapos, vagy magastetővel létesíthetők. A magastető hajlásszöge 15°-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nál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alacsonyabb, 45°-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nál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meredekebb nem lehet. Tetőhéjazatként cserépfedés, vagy sötét tónusú kiselemes hatású fedés alkalmazható. Torony, előtető fedése a fent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rögzítettől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eltérően is kialakítható.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(8) A tetőhéjazat cseréje esetén, egy tetőfelületen többféle anyagú, színű tetőhéjazat - kivéve a gyárilag színárnyalatos kivitelűt - nem helyezhető el.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(9) A lakóépületek homlokzatát a helyi építészeti hagyományoknak megfelelően csak a településre jellemző, természetes anyagokkal és színekkel, a helyi építészeti hagyományokhoz illeszkedő megjelenéssel lehet kialakítani.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(10) Az egy telken lévő építmények tömegei és homlokzatai (homlokzati színezések) úgy alakíthatók ki, hogy azok egymással összhangban legyenek és formai szempontból egységes építmény-együttes hatását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keltsék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>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lastRenderedPageBreak/>
        <w:t>(11) A homlokzat részleges felújítása során a meglévőtől színében és anyagában kirívóan eltérő anyag nem alkalmazható.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(12) Az épületek homlokzatainak, kerítéseinek egysége megtartandó, azt részleges átalakítással vagy átfestéssel megbontani nem szabad.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(13) Kerítés kialakítása: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) Az utcafronton áttört, vagy tömör kerítés létesíthető, maximum 60 cm magas lábazattal.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b) Útcsatlakozásoknál a szabadlátást akadályozó létesítmények elhelyezése, valamint 0,60 m-nél magasabb növényzetet ültetése nem megengedett.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15. §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 </w:t>
      </w:r>
      <w:hyperlink r:id="rId10" w:anchor="SZ11@BE1@POB" w:history="1">
        <w:r w:rsidRPr="004C3468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11. § (1) bekezdés b) pont</w:t>
        </w:r>
      </w:hyperlink>
      <w:r w:rsidRPr="004C3468">
        <w:rPr>
          <w:rFonts w:ascii="Meiryo" w:eastAsia="Meiryo" w:hAnsi="Meiryo" w:cs="Meiryo"/>
          <w:sz w:val="18"/>
          <w:szCs w:val="18"/>
          <w:lang w:eastAsia="hu-HU"/>
        </w:rPr>
        <w:t>jában meghatározott területen az ingatlanok és az épületek kialakítása, fejlesztése és használata során a kialakult tájkarakterhez kell illeszkedni.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Az épületek – pincék kivételével – magastetővel, a kialakult állapotnak megfelelően létesíthetők.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(3) A tető hajlásszöge 30°-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nál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alacsonyabb, 45°-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nál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meredekebb nem lehet.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(4) Tetőhéjazatként cserépfedést, nádat, vagy sötét tónusú kiselemes hatású fedést lehet alkalmazni.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(5) Az épületek homlokzatát csak a településre jellemző, természetes anyagokkal és színekkel lehet kialakítani.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16. §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 </w:t>
      </w:r>
      <w:hyperlink r:id="rId11" w:anchor="SZ11@BE1@POC" w:history="1">
        <w:r w:rsidRPr="004C3468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11. § (1) bekezdés c) pont</w:t>
        </w:r>
      </w:hyperlink>
      <w:r w:rsidRPr="004C3468">
        <w:rPr>
          <w:rFonts w:ascii="Meiryo" w:eastAsia="Meiryo" w:hAnsi="Meiryo" w:cs="Meiryo"/>
          <w:sz w:val="18"/>
          <w:szCs w:val="18"/>
          <w:lang w:eastAsia="hu-HU"/>
        </w:rPr>
        <w:t>jában meghatározott területen az ingatlanok és az épületek kialakítása, fejlesztése és használata során a kialakult tájkarakterhez kell illeszkedni.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Az épületek – pincék kivételével –magastetővel, a kialakult állapot figyelembe vételével létesíthetők.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(3) A 8 méternél nagyobb fesztávú csarnokszerkezetek kivételével tető hajlásszöge 40°-45° között lehet. A nagyfesztávú csarnokszerkezetek alacsonyabb hajlásszögű tetővel építhetők.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(4) Épületcsoportnál azonos tetőalakítás alkalmazandó.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(5) Tetőhéjazatként cserépfedést, vagy sötét tónusú kiselemes hatású fedést lehet alkalmazni.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(6) Homlokzat színezése során a fehér, a tört-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fehérés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pasztellszínek alkalmazhatók. A harsány, rikító színek használatát kerülni kell.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17. §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Természeti területeken, tájidegen műtárgyak, tájképileg zavaró létesítmények nem helyezhetők el, és a táj jellegét kedvezőtlenül megváltoztató domborzati beavatkozás, valamint a természetvédelem céljaival ellentétes fásítás nem végezhető.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Csak extenzív jellegű vagy természet- és környezetkímélő gazdálkodási módszerek alkalmazhatók. A kialakult tájhasználatot megváltoztatni csak a természetes állapothoz közelítés érdekében szabad.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13. A közterületekre vonatkozó építészeti követelmények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18. §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 település utcái mentén, ahol nincs akadályozó tényező, fasor kell telepíteni. A zöldsáv fenntartását, gyommentesítését tulajdonosának, vagy kezelőjének folyamatosan el kell végezni.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Az utak melletti fasorok, cserjesávok folyamatos ápolásáról, szükség szerint pótlásukról gondoskodni kell.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(3) Zöldterületeken elsősorban a tájra jellemző, lombhullató cserje- és fafajok telepítése lehetséges, az 2. függelékben található fajlista felhasználásával. A mellékelt növénylista bővíthető, de kifejezetten a tájegységre jellemző, a hazai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flórát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reprezentáló, lombhullató fajok alkalmazhatók.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(4) Közterületi növénytelepítésnél a tűlevelű örökzöldek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dominanciája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kerülendő.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(5) A közterületen elhelyezhető építményekkel szembeni elvárások a következők: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) Fa homlokzatú, térelemes, önálló alapszerkezet nélküli pavilon létesíthető. A pavilont a településképbe illően, a közlekedésbiztonsági előírások figyelembevételével, valamint a közterület kezelhetőségének,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tisztántarthatóságának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biztosításával kell elhelyezni. Egy-egy közterületi szakaszon csak azonos formájú, anyagú és színű pavilonok állíthatók fel.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b) 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közúti közlekedéssel kapcsolatos várakozóhelyek a település teljes területén egységes kialakításúak legyenek.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(6) A zöldterületen bármilyen építmény csak úgy helyezhető el, hogy a kivágott fákat, növényzetet pótolni kell. Közterületen történő fakivágás esetén az azt követő pótlást tájhonos, lombhullató min. 3-szor iskolázott példány telepítésével kell végrehajtani.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14. A zöldfelület kialakításának követelményei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19. §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 telkek területének burkolatlan, be nem épített részét zöldfelületként kell kialakítani.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 temetőt kerítése mentén fasorral kell határolni.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(3) A településképi szempontból meghatározó területeken a telepítendő növényfajok kiválasztásakor a tájban honos, a termőhelyi adottságoknak megfelelő növényfajokat kell telepíteni (2. függelék).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(4) A településképi szempontból meghatározó területeken, a tájidegen,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invazív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növényfajok nem alkalmazhatók (3. függelék).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20. §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 (1) Külterületen és kertes területen a földrészletek mezőgazdasági műveléssel nem hasznosított, be nem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épített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,burkolatlanterületétzöldfelületként</w:t>
      </w:r>
      <w:proofErr w:type="spellEnd"/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kell kialakítani és fenntartani.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lastRenderedPageBreak/>
        <w:t>(2) Mezőgazdasági területen az összefüggő, nagy felületű szántóterületek erdő,- és cserjesávval történő megosztását természetvédelmi és gazdasági érdekből biztosítani kell.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(3) A mozaikos tájszerkezet megőrzése és ökológiai szerepe miatt a gyepterületeken a fás-cserjés foltok, erdő-gyep mozaikok megőrzését, a jelenlegi művelési ágak megtartását biztosítani kell.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(4) Az erdőterületek, erdősávok, fasorok telepítése, felújítása elsősorban őshonos fajokkal történjen (tölgyek, hársak, kőris, szil, hazai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nyarak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>).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15. Helyi védelem alá helyezett értékekre vonatkozó építészeti követelmények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21. §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 (1) A védett épületeket hagyományos építészeti tömegükben, tetőformájukban kell megtartani, érintetlenül hagyva a hagyományos homlokzati nyílásrendet, és a nyílások osztásait, megőrizve a homlokzati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tagozatokat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és díszítéseket. Az átalakított homlokzatok eredeti állapotukba visszaállítható.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 védett épület belső korszerűsítését, átalakítását, esetleg bővítését a védettség nem akadályozza, sőt a védelem érdekében elő kell segíteni ezen épületek mai igényeknek megfelelő hasznosítását.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(3) A védett épületeket úgy lehet bővíteni, hogy az eredeti épület tömegformája, homlokzati kialakítása, utcaképi megjelenése ne változzon, vagy a legkisebb kárt szenvedje, és a tervezett bővítés a régi épület formálásával, szerkezetével, anyaghasználatával összhangban legyen.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(4) Az épület jellegéhez szorosan hozzátartozó építmények (kerítés, kapu, szegletkő, rács) lehetőség szerint eredeti állapotukban megőrzendők.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(5) A helyi védelem alatt álló épület, építmény telkének utcai kerítése lehetőleg természetes anyagból (fa vagy sövény) készüljön, vagy igényes kialakítású, áttört fémkerítés lehet.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(6) Közterületre néző homlokzatra nem helyezhető ki gázkészülék égéstermék kivezetése, parabola antenna, valamint klímaberendezés kültéri egysége.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(7) Reklámcélú építmény, reklámhordozó,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reklámnak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minősülő falfestés, felirat, plakát helyi egyedi védelem alatt álló épületen, valamint az előtte levő közterületen nem helyezhető el.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(8) A védett épület bontására csak a teljes műszaki és erkölcsi avultság beálltával kerülhet sor, a védettség megszüntetését követően.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16. Egyéb műszaki berendezésekre vonatkozó településképi követelmények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22. §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 tervezett lakóépületek és intézmények homlokzatára szerelt gépészeti kapcsolószekrények és a dobozok helyét és a színét, az épület stílusához, a homlokzat színéhez igazodva lehet kiválasztani. A berendezések a közmű üzemeltetők előírásainak figyelembe vételével az épületek alárendelt homlokzatára szerelhetők, vagy építhetők a kerítésbe.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Égéstermék elvezetésére utcai homlokzaton szerelt kémény nem építhető.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(3) Klímaberendezés, turbókazán, központi porszívó szellőzőnyílását szomszéd telkére oldalhatáron álló beépítési mód esetén, valamint az épület fő (utcai) homlokzatára nem lehet elhelyezni.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17. Felszíni energiaellátási és vezetékes elektronikus hírközlési sajátos építmények elhelyezésére vonatkozó közös szabályok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23. §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 településképi szempontból meghatározó területen a felszíni energiaellátási és vezetékes elektronikus hírközlési sajátos építmények a településképi és tájképvédelmi szempontok figyelembe vétele mellett helyezhetők el.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(2) Belterületen, valamint külterület beépítésre szánt területén, ahol a villamos-energia ellátás és az elektronikus hírközlés hálózatai föld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feletti vezetésűek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, új villamos-energia elosztási, közvilágítási vezetékeket és az elektronikus hírközlési hálózatokat a meglevő oszlopsorra, illetve közös tartóoszlopra kell feszíteni. Közös oszlopsorra való telepítés bármilyen akadályoztatása esetén az építendő hálózatot lehetőleg földkábelbe fektetve kell építeni.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(3) Jelentősebb energiaigény növekedés esetén a tervezett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transzformátorok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helyét a beépítéssel összehangoltan a környezetbe illesztve kell kijelölni.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(4) A közművezetékek elhelyezésénél, átalakításánál elsőbbséget kell biztosítani a fasorok, a közcélú növényzet elhelyezhetőségének.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(5) Közművezeték, járulékos közműlétesítmények elhelyezésénél az esztétikai követelmények betartására is figyelemmel kell lenni.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(6) Közterületen lámpákkal káprázást, vakítást, ártó fényhatást okozni nem szabad, ingatlan használatát korlátozni tilos.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(7) A fényszennyezés elkerülésének érdekében a kültéri világítás a tényleges használat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idejéhez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igazítandó és 22 óra, vagy éjfél után közvilágítás fénye csökkenthető.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18. Vezeték nélküli elektronikus hírközlési sajátos építmények elhelyezésére vonatkozó szabályok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24. §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A település területén a vezeték nélküli hírközlés sajátos építményeinek, műtárgyainak elhelyezésére nem alkalmas területek a </w:t>
      </w:r>
      <w:hyperlink r:id="rId12" w:anchor="SZ11@BE1@POA" w:history="1">
        <w:r w:rsidRPr="004C3468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11. § (1) bekezdés a)-b) pont</w:t>
        </w:r>
      </w:hyperlink>
      <w:r w:rsidRPr="004C3468">
        <w:rPr>
          <w:rFonts w:ascii="Meiryo" w:eastAsia="Meiryo" w:hAnsi="Meiryo" w:cs="Meiryo"/>
          <w:sz w:val="18"/>
          <w:szCs w:val="18"/>
          <w:lang w:eastAsia="hu-HU"/>
        </w:rPr>
        <w:t>ban meghatározott területek.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lastRenderedPageBreak/>
        <w:t>25. §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 település területén a vezeték nélküli hírközlés sajátos építményeinek, műtárgyainak elhelyezése – a környezetbe illesztés feltételeivel – elsősorban a település külterülete alkalmas.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Amennyiben 300 m-es körzetben már meglevő antenna áll, új antenna elhelyezése csak a meglévő antennatartó-szerkezet igénybevételével történhet.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19. </w:t>
      </w:r>
      <w:proofErr w:type="gramStart"/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Reklámra</w:t>
      </w:r>
      <w:proofErr w:type="gramEnd"/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, reklámhordozóra, cég- és címtáblára vonatkozó általános településképi követelmények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26. §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 (1) A település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reklámok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, reklámhordozók, cég-, címtáblák és cégérek csak a jelen rendeletben előírt célra és módon, településképi bejelentési eljárás lefolytatását követően helyezhető el, a </w:t>
      </w:r>
      <w:hyperlink r:id="rId13" w:tgtFrame="_blank" w:history="1">
        <w:r w:rsidRPr="004C3468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104/2017.(IV.28.) Korm. rendelet</w:t>
        </w:r>
      </w:hyperlink>
      <w:r w:rsidRPr="004C3468">
        <w:rPr>
          <w:rFonts w:ascii="Meiryo" w:eastAsia="Meiryo" w:hAnsi="Meiryo" w:cs="Meiryo"/>
          <w:sz w:val="18"/>
          <w:szCs w:val="18"/>
          <w:lang w:eastAsia="hu-HU"/>
        </w:rPr>
        <w:t>ben meghatározott területfelhasználású területen és módon.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(2) A település területén csak a környezet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arculatához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illeszkedő, esztétikus hirdető-berendezés, egyéb reklámhordozó,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információs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célú berendezés helyezhető el.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(3) Az elhasználódott, felújítandó,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aktualitását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vesztett reklámhordozót, reklámtartóberendezést, hirdető-berendezést, cég-, címtáblát, cégért a tulajdonosnak 30 napon belül el kell távolítania. Felújítást követően az új településképi előírások szerint helyezhetők el.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20. Cég- és címtáblára vonatkozó településképi követelmények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27. §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Épületek homlokzataira kerülő cég- és címtábla épületdíszítő tagozatot nem takarhat el.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Új épület létesítésénél, meglévő épületek átalakításánál vagy homlokzatának felújításakor a közterülettől látható felületen cég-, címtáblát, cégért úgy lehet elhelyezni, hogy az épület architektúráját ne változtassa meg.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(3) Az épületeken elhelyezhető cégérek szerkezeteinek, felülete rikító színű, káprázást okozó és fényvisszaverő kialakítású nem lehet, az összképben zavaró hatás nem engedhető meg.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(4) 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Táblaszerűen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kialakított cégér felülete nem haladhatja meg az 1,0 m²-t.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21. </w:t>
      </w:r>
      <w:proofErr w:type="gramStart"/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Reklámra</w:t>
      </w:r>
      <w:proofErr w:type="gramEnd"/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, reklámhordozóra vonatkozó településképi követelmények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28. §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 (1) Településképi szempontból kiemelt területen lévő közterületen és magánterületen reklámhordozó és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reklám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– jogszabályban meghatározott kivétellel – nem helyezhető el.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A település területén az épületek tetőzetén reklámhordozók, fényreklámok nem helyezhetők el.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(3) Épülethomlokzaton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reklám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, reklámhordozó felület, gépjárműforgalmat nem zavaró elhelyezéssel és mérettel helyezhető el.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(4) Üzlethelyiségenként legfeljebb egy db álló A1-es méretű kétoldalas vagy fordított „V” alakú mobil reklámtábla helyezhető el a közterületen, mely az üzlet kirakatától maximum 1,5 méterre állhat, a gyalogosforgalmat nem akadályozó módon.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(5) Plakát, falragasz az épületek közterület felé néző homlokzatain nem helyezhető el.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(6) Építési reklámháló kihelyezése az építési tevékenység időtartamára településképi bejelentési eljárás lefolytatását követően lehetséges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29. §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Az épületeken elhelyezhető reklámhordozó szerkezeteinek, felülete rikító színű, káprázást okozó és fényvisszaverő kialakítású nem lehet, az összképben zavaró hatás nem engedhető meg.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Fényreklám kialakítására vonatkozó előírások: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a) a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reklámok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csak alacsony fényintenzitásúak lehetnek,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b) nem alakítható ki villogó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effektussal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,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c) a lakások rendeltetésszerű használatát nem zavarhatja.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22. </w:t>
      </w:r>
      <w:proofErr w:type="gramStart"/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Információs</w:t>
      </w:r>
      <w:proofErr w:type="gramEnd"/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 xml:space="preserve"> vagy más célú berendezések elhelyezésére vonatkozó településképi követelmények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30. §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Információs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célú berendezés az alábbi gazdasági reklámnak nem minősülő közérdekű információ közlésére létesíthető: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a) az önkormányzat működés körébe tartozó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információk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;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b) a település szempontjából jelentős eseményekkel kapcsolatos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információk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;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c) a településen elérhető szolgáltatásokkal, ügyintézési lehetőségekkel kapcsolatos tájékoztatás nyújtása;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d) idegenforgalmi és közlekedési </w:t>
      </w:r>
      <w:proofErr w:type="gramStart"/>
      <w:r w:rsidRPr="004C3468">
        <w:rPr>
          <w:rFonts w:ascii="Meiryo" w:eastAsia="Meiryo" w:hAnsi="Meiryo" w:cs="Meiryo"/>
          <w:sz w:val="18"/>
          <w:szCs w:val="18"/>
          <w:lang w:eastAsia="hu-HU"/>
        </w:rPr>
        <w:t>információk</w:t>
      </w:r>
      <w:proofErr w:type="gramEnd"/>
      <w:r w:rsidRPr="004C3468">
        <w:rPr>
          <w:rFonts w:ascii="Meiryo" w:eastAsia="Meiryo" w:hAnsi="Meiryo" w:cs="Meiryo"/>
          <w:sz w:val="18"/>
          <w:szCs w:val="18"/>
          <w:lang w:eastAsia="hu-HU"/>
        </w:rPr>
        <w:t>;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e) a társadalom egészét vagy széles rétegeit érintő, elsősorban állami </w:t>
      </w: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információk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;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f) gazdasági </w:t>
      </w: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reklámnak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nem minősülő közérdekű információk.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(2) Az </w:t>
      </w: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információs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célú berendezés felületének legfeljebb kétharmada vehető igénybe reklám közzétételére, felületének legalább egyharmada az </w:t>
      </w:r>
      <w:hyperlink r:id="rId14" w:anchor="SZ30@BE1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(1) bekezdés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 szerinti közérdekű információt kell, hogy tartalmazzon.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(3) A más célú berendezés reklámcélra nem használható, kivéve a közterület fölé nyúló árnyékoló berendezés.</w:t>
      </w:r>
    </w:p>
    <w:p w:rsidR="004C3468" w:rsidRPr="004F61F6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i/>
          <w:iCs/>
          <w:sz w:val="18"/>
          <w:szCs w:val="18"/>
          <w:lang w:eastAsia="hu-HU"/>
        </w:rPr>
        <w:t>V. Fejezet</w:t>
      </w:r>
    </w:p>
    <w:p w:rsidR="004C3468" w:rsidRPr="004F61F6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i/>
          <w:iCs/>
          <w:sz w:val="18"/>
          <w:szCs w:val="18"/>
          <w:lang w:eastAsia="hu-HU"/>
        </w:rPr>
        <w:t xml:space="preserve">A </w:t>
      </w:r>
      <w:proofErr w:type="gramStart"/>
      <w:r w:rsidRPr="004F61F6">
        <w:rPr>
          <w:rFonts w:ascii="Meiryo" w:eastAsia="Meiryo" w:hAnsi="Meiryo" w:cs="Meiryo"/>
          <w:i/>
          <w:iCs/>
          <w:sz w:val="18"/>
          <w:szCs w:val="18"/>
          <w:lang w:eastAsia="hu-HU"/>
        </w:rPr>
        <w:t>településkép-védelmi tájékoztatás</w:t>
      </w:r>
      <w:proofErr w:type="gramEnd"/>
      <w:r w:rsidRPr="004F61F6">
        <w:rPr>
          <w:rFonts w:ascii="Meiryo" w:eastAsia="Meiryo" w:hAnsi="Meiryo" w:cs="Meiryo"/>
          <w:i/>
          <w:iCs/>
          <w:sz w:val="18"/>
          <w:szCs w:val="18"/>
          <w:lang w:eastAsia="hu-HU"/>
        </w:rPr>
        <w:t xml:space="preserve"> és szakmai konzultáció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b/>
          <w:bCs/>
          <w:sz w:val="18"/>
          <w:szCs w:val="18"/>
          <w:lang w:eastAsia="hu-HU"/>
        </w:rPr>
        <w:t>31. §</w:t>
      </w:r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 (1) A település </w:t>
      </w:r>
      <w:proofErr w:type="spellStart"/>
      <w:r w:rsidRPr="004F61F6">
        <w:rPr>
          <w:rFonts w:ascii="Meiryo" w:eastAsia="Meiryo" w:hAnsi="Meiryo" w:cs="Meiryo"/>
          <w:sz w:val="18"/>
          <w:szCs w:val="18"/>
          <w:lang w:eastAsia="hu-HU"/>
        </w:rPr>
        <w:t>főépítésze</w:t>
      </w:r>
      <w:proofErr w:type="spell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- alkalmazása hiányában a polgármester - szakmai </w:t>
      </w: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konzultációt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és ezen belül szakmai tájékoztatást (a továbbiakban: szakmai konzultáció) biztosít a településképi követelményekről.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lastRenderedPageBreak/>
        <w:t xml:space="preserve">(2) Az építtetőnek vagy meghatalmazottjának az építés megkezdése előtt szakmai </w:t>
      </w: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konzultációt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kell kérni: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Ha a tervezett építési tevékenység a lakóépület építésének egyszerű bejelentéséről szóló Korm. rendelet hatálya alá tartozó, egyszerű bejelentéshez kötött építési tevékenység alapján történő új lakóépület építése, vagy meglévő épület bővítése történik.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b) Közterületen kapubeálló, híd építése, átépítése esetén.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(3) A szakmai </w:t>
      </w: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konzultáció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iránti kérelmet a polgármesternek címezve kell benyújtani. A kérelemnek tartalmaznia kell: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az építtető vagy kérelmező nevét, címét, telefonos elérhetőségét,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b) a tervezett építési tevékenység helyét (utca, házszám, helyrajzi szám),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c) az építési tevékenység rövid leírását,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d) az építési munka jellegétől függően indokolt esetben rajzi munkarészek csatolását.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(4) A polgármester a kérelmezőt a </w:t>
      </w: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konzultáció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időpontjáról postai úton, vagy e-mailben értesíti.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(5) A szakmai </w:t>
      </w: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konzultációt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a kérelem beérkezésétől számított 8 napon belül kell lefolytatni.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(6) A szakmai </w:t>
      </w: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konzultációról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emlékeztető készül, melyben a felvetett javaslatokat, valamint az önkormányzati főépítész vagy a polgármester lényeges nyilatkozatait kell rögzíteni.</w:t>
      </w:r>
    </w:p>
    <w:p w:rsidR="004C3468" w:rsidRPr="004F61F6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i/>
          <w:iCs/>
          <w:sz w:val="18"/>
          <w:szCs w:val="18"/>
          <w:lang w:eastAsia="hu-HU"/>
        </w:rPr>
        <w:t>VI. Fejezet</w:t>
      </w:r>
    </w:p>
    <w:p w:rsidR="004C3468" w:rsidRPr="004F61F6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i/>
          <w:iCs/>
          <w:sz w:val="18"/>
          <w:szCs w:val="18"/>
          <w:lang w:eastAsia="hu-HU"/>
        </w:rPr>
        <w:t>A településképi véleményezési eljárás</w:t>
      </w:r>
    </w:p>
    <w:p w:rsidR="004C3468" w:rsidRPr="004F61F6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b/>
          <w:bCs/>
          <w:sz w:val="18"/>
          <w:szCs w:val="18"/>
          <w:lang w:eastAsia="hu-HU"/>
        </w:rPr>
        <w:t>23. A településképi véleményezési eljárás alkalmazási köre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b/>
          <w:bCs/>
          <w:sz w:val="18"/>
          <w:szCs w:val="18"/>
          <w:lang w:eastAsia="hu-HU"/>
        </w:rPr>
        <w:t>32. §</w:t>
      </w:r>
      <w:r w:rsidRPr="004F61F6">
        <w:rPr>
          <w:rFonts w:ascii="Meiryo" w:eastAsia="Meiryo" w:hAnsi="Meiryo" w:cs="Meiryo"/>
          <w:sz w:val="18"/>
          <w:szCs w:val="18"/>
          <w:lang w:eastAsia="hu-HU"/>
        </w:rPr>
        <w:t> Településképi véleményezési eljárást kell lefolytatni az alábbi esetekben: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új építmény építési engedélyezési eljárását megelőzően,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b) meglévő építmény bővítésére, valamint a településképet érintő átalakítására irányuló építési, fennmaradási engedélyezési eljárást megelőzően, amelynél a településrendezési és építészeti-műszaki tervtanácsokról szóló kormányrendelet szerinti területi építészeti-műszaki tervtanácsnak nincs hatásköre, és amennyiben összevont telepítési eljárást, ezen belül telepítési hatásvizsgálati szakaszt nem kezdeményezett az építtető.</w:t>
      </w:r>
    </w:p>
    <w:p w:rsidR="004C3468" w:rsidRPr="004F61F6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b/>
          <w:bCs/>
          <w:sz w:val="18"/>
          <w:szCs w:val="18"/>
          <w:lang w:eastAsia="hu-HU"/>
        </w:rPr>
        <w:t>24. A településképi véleményezési eljárás szabályai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b/>
          <w:bCs/>
          <w:sz w:val="18"/>
          <w:szCs w:val="18"/>
          <w:lang w:eastAsia="hu-HU"/>
        </w:rPr>
        <w:t>33. §</w:t>
      </w:r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 (1) Településképi véleményezési eljárás a településfejlesztési </w:t>
      </w: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koncepcióról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, az integrált településfejlesztési stratégiáról és a településrendezési eszközökről, valamint egyes településrendezési sajátos jogintézményekről szóló </w:t>
      </w:r>
      <w:hyperlink r:id="rId15" w:anchor="SZ26" w:tgtFrame="_blank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314/2012.(XI.8.) Korm. rendelet (a továbbiakban: Korm. rendelet) 26. §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 szerint folytatható le.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(2) A polgármester véleménye a </w:t>
      </w:r>
      <w:hyperlink r:id="rId16" w:anchor="SZ32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32. §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-</w:t>
      </w:r>
      <w:proofErr w:type="spellStart"/>
      <w:r w:rsidRPr="004F61F6">
        <w:rPr>
          <w:rFonts w:ascii="Meiryo" w:eastAsia="Meiryo" w:hAnsi="Meiryo" w:cs="Meiryo"/>
          <w:sz w:val="18"/>
          <w:szCs w:val="18"/>
          <w:lang w:eastAsia="hu-HU"/>
        </w:rPr>
        <w:t>ban</w:t>
      </w:r>
      <w:proofErr w:type="spell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meghatározott esetekben az önkormányzati főépítész szakmai álláspontján alapul.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b/>
          <w:bCs/>
          <w:sz w:val="18"/>
          <w:szCs w:val="18"/>
          <w:lang w:eastAsia="hu-HU"/>
        </w:rPr>
        <w:t>34. §</w:t>
      </w:r>
      <w:r w:rsidRPr="004F61F6">
        <w:rPr>
          <w:rFonts w:ascii="Meiryo" w:eastAsia="Meiryo" w:hAnsi="Meiryo" w:cs="Meiryo"/>
          <w:sz w:val="18"/>
          <w:szCs w:val="18"/>
          <w:lang w:eastAsia="hu-HU"/>
        </w:rPr>
        <w:t> (1) A településképi véleményezési eljárás lefolytatása iránti kérelmet az e rendelet </w:t>
      </w:r>
      <w:hyperlink r:id="rId17" w:anchor="ME2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 xml:space="preserve">2. </w:t>
        </w:r>
        <w:proofErr w:type="gramStart"/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melléklet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ében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foglalt mintának megfelelően kell benyújtani és a véleményezendő építészeti-műszaki dokumentációt elektronikus formában az az ÉTDR tárhelyére fel kell tölteni.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(2) A kérelemhez az </w:t>
      </w:r>
      <w:hyperlink r:id="rId18" w:anchor="SZ34@BE1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(1) bekezdés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 szerinti építészeti-műszaki dokumentációt kell mellékelni a </w:t>
      </w:r>
      <w:hyperlink r:id="rId19" w:tgtFrame="_blank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Korm. rendelet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ben meghatározott tartalommal.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(3) A településképi vélemény kialakításánál a </w:t>
      </w:r>
      <w:hyperlink r:id="rId20" w:tgtFrame="_blank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Korm. rendelet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ben meghatározott szempontokat és e rendelet előírásait kell figyelembe venni.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(4) A polgármester a hiánytalan kérelem beérkezésétől számított 15 napon belül megküldi véleményét a kérelmezőnek.</w:t>
      </w:r>
    </w:p>
    <w:p w:rsidR="004C3468" w:rsidRPr="004F61F6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i/>
          <w:iCs/>
          <w:sz w:val="18"/>
          <w:szCs w:val="18"/>
          <w:lang w:eastAsia="hu-HU"/>
        </w:rPr>
        <w:t>VII. Fejezet</w:t>
      </w:r>
    </w:p>
    <w:p w:rsidR="004C3468" w:rsidRPr="004F61F6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i/>
          <w:iCs/>
          <w:sz w:val="18"/>
          <w:szCs w:val="18"/>
          <w:lang w:eastAsia="hu-HU"/>
        </w:rPr>
        <w:t>A településképi bejelentési eljárás</w:t>
      </w:r>
    </w:p>
    <w:p w:rsidR="004C3468" w:rsidRPr="004F61F6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b/>
          <w:bCs/>
          <w:sz w:val="18"/>
          <w:szCs w:val="18"/>
          <w:lang w:eastAsia="hu-HU"/>
        </w:rPr>
        <w:t>25. A településképi bejelentési eljárás alkalmazási köre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b/>
          <w:bCs/>
          <w:sz w:val="18"/>
          <w:szCs w:val="18"/>
          <w:lang w:eastAsia="hu-HU"/>
        </w:rPr>
        <w:t>35. §</w:t>
      </w:r>
      <w:r w:rsidRPr="004F61F6">
        <w:rPr>
          <w:rFonts w:ascii="Meiryo" w:eastAsia="Meiryo" w:hAnsi="Meiryo" w:cs="Meiryo"/>
          <w:sz w:val="18"/>
          <w:szCs w:val="18"/>
          <w:lang w:eastAsia="hu-HU"/>
        </w:rPr>
        <w:t> (1) Településképi bejelentési eljárást kell lefolytatni az építésügyi és építésfelügyeleti hatósági eljárásokról és ellenőrzésekről, valamint az építésügyi hatósági szolgáltatásról szóló </w:t>
      </w:r>
      <w:hyperlink r:id="rId21" w:anchor="ME1" w:tgtFrame="_blank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 xml:space="preserve">Korm. rendelet 1. </w:t>
        </w:r>
        <w:proofErr w:type="gramStart"/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melléklet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ében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felsorolt, építési engedély nélkül végezhető építési tevékenységek közül: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Szobor, emlékmű, kereszt, emlékjel építése, elhelyezése esetén, ha annak a talapzatával együtt mért magassága nem haladja meg a 6,0 m-t.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b) Építménynek minősülő, háztartási hulladék elhelyezésére szolgáló hulladékgyűjtő és - tároló, sorompó, árnyékoló elhelyezése esetén, amennyiben közterületről látható.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(2) A község teljes közigazgatási területére vonatkozóan településképi bejelentési eljárást kell lefolytatni: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meglévő építmények rendeltetésének – részleges vagy teljes – megváltoztatása esetén,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b) az önálló rendeltetési egységek számának változásakor, amennyiben az új rendeltetés szerinti területhasználata korábbi rendeltetéshez képest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spellStart"/>
      <w:r w:rsidRPr="004F61F6">
        <w:rPr>
          <w:rFonts w:ascii="Meiryo" w:eastAsia="Meiryo" w:hAnsi="Meiryo" w:cs="Meiryo"/>
          <w:sz w:val="18"/>
          <w:szCs w:val="18"/>
          <w:lang w:eastAsia="hu-HU"/>
        </w:rPr>
        <w:t>ba</w:t>
      </w:r>
      <w:proofErr w:type="spellEnd"/>
      <w:r w:rsidRPr="004F61F6">
        <w:rPr>
          <w:rFonts w:ascii="Meiryo" w:eastAsia="Meiryo" w:hAnsi="Meiryo" w:cs="Meiryo"/>
          <w:sz w:val="18"/>
          <w:szCs w:val="18"/>
          <w:lang w:eastAsia="hu-HU"/>
        </w:rPr>
        <w:t>) jelentősen megváltoztatja az ingatlanon belüli gépkocsi-forgalmat,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spellStart"/>
      <w:r w:rsidRPr="004F61F6">
        <w:rPr>
          <w:rFonts w:ascii="Meiryo" w:eastAsia="Meiryo" w:hAnsi="Meiryo" w:cs="Meiryo"/>
          <w:sz w:val="18"/>
          <w:szCs w:val="18"/>
          <w:lang w:eastAsia="hu-HU"/>
        </w:rPr>
        <w:t>bb</w:t>
      </w:r>
      <w:proofErr w:type="spellEnd"/>
      <w:r w:rsidRPr="004F61F6">
        <w:rPr>
          <w:rFonts w:ascii="Meiryo" w:eastAsia="Meiryo" w:hAnsi="Meiryo" w:cs="Meiryo"/>
          <w:sz w:val="18"/>
          <w:szCs w:val="18"/>
          <w:lang w:eastAsia="hu-HU"/>
        </w:rPr>
        <w:t>) többlet-parkolóhelyek kialakítását teszi szükségessé,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spellStart"/>
      <w:r w:rsidRPr="004F61F6">
        <w:rPr>
          <w:rFonts w:ascii="Meiryo" w:eastAsia="Meiryo" w:hAnsi="Meiryo" w:cs="Meiryo"/>
          <w:sz w:val="18"/>
          <w:szCs w:val="18"/>
          <w:lang w:eastAsia="hu-HU"/>
        </w:rPr>
        <w:lastRenderedPageBreak/>
        <w:t>bc</w:t>
      </w:r>
      <w:proofErr w:type="spellEnd"/>
      <w:r w:rsidRPr="004F61F6">
        <w:rPr>
          <w:rFonts w:ascii="Meiryo" w:eastAsia="Meiryo" w:hAnsi="Meiryo" w:cs="Meiryo"/>
          <w:sz w:val="18"/>
          <w:szCs w:val="18"/>
          <w:lang w:eastAsia="hu-HU"/>
        </w:rPr>
        <w:t>) amennyiben a meglévő lakó rendeltetés megváltoztatása történik, vagy lakórendeltetésre történő változás kerül kialakításra,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spellStart"/>
      <w:r w:rsidRPr="004F61F6">
        <w:rPr>
          <w:rFonts w:ascii="Meiryo" w:eastAsia="Meiryo" w:hAnsi="Meiryo" w:cs="Meiryo"/>
          <w:sz w:val="18"/>
          <w:szCs w:val="18"/>
          <w:lang w:eastAsia="hu-HU"/>
        </w:rPr>
        <w:t>bd</w:t>
      </w:r>
      <w:proofErr w:type="spellEnd"/>
      <w:r w:rsidRPr="004F61F6">
        <w:rPr>
          <w:rFonts w:ascii="Meiryo" w:eastAsia="Meiryo" w:hAnsi="Meiryo" w:cs="Meiryo"/>
          <w:sz w:val="18"/>
          <w:szCs w:val="18"/>
          <w:lang w:eastAsia="hu-HU"/>
        </w:rPr>
        <w:t>) érinti a közterület kialakítását, a közterületen lévő berendezéseket vagy növényzetet,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be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érinti a kapcsolódó közterület közúti vagy gyalogos, kerékpáros forgalmát;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c) védett érték közterületre néző homlokzatán történő színezés, új tetőhéjalás, nyílászáró csere, valamint előtető építése esetén;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d) településképet meghatározó területen az építmények homlokzatára, tetőfelületére, az építési telek kerítésére, kerítéskapujára vagy támfalára rögzített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da) kirakat kialakítása,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db) </w:t>
      </w: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reklám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-felületet is tartalmazó előtető, napvédő ponyva elhelyezése esetén.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e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védett értéken cégér, üzletfelirat stb. elhelyezése tekintetében;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f) </w:t>
      </w: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reklámok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, reklámhordozók, építési reklámháló elhelyezésével kapcsolatban.</w:t>
      </w:r>
    </w:p>
    <w:p w:rsidR="004C3468" w:rsidRPr="004F61F6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b/>
          <w:bCs/>
          <w:sz w:val="18"/>
          <w:szCs w:val="18"/>
          <w:lang w:eastAsia="hu-HU"/>
        </w:rPr>
        <w:t>26. A településképi bejelentési eljárás vizsgálati szempontjai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b/>
          <w:bCs/>
          <w:sz w:val="18"/>
          <w:szCs w:val="18"/>
          <w:lang w:eastAsia="hu-HU"/>
        </w:rPr>
        <w:t>36. §</w:t>
      </w:r>
      <w:r w:rsidRPr="004F61F6">
        <w:rPr>
          <w:rFonts w:ascii="Meiryo" w:eastAsia="Meiryo" w:hAnsi="Meiryo" w:cs="Meiryo"/>
          <w:sz w:val="18"/>
          <w:szCs w:val="18"/>
          <w:lang w:eastAsia="hu-HU"/>
        </w:rPr>
        <w:t> (1) A településképi bejelentési eljárás lefolytatása és az építészeti-műszaki dokumentáció értékelése során a településképben harmonikusan megjelenő, településképet nem zavaró, az épített és természeti környezethez illeszkedő és annak előnyösebb megjelenését segítő megoldási szempontokat kell érvényesíteni.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(2) A településképi bejelentési eljárás lefolytatása során vizsgálni szükséges, hogy a véleményezésre benyújtott építészeti-műszaki dokumentáció tartalma: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megfelel-e az e rendeletben foglalt előírásoknak,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b) kidolgozása a szakmai </w:t>
      </w: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konzultáció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szerint történt-e,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c) a </w:t>
      </w:r>
      <w:hyperlink r:id="rId22" w:anchor="SZ36@BE2@POB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b) pont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 szerinti előírásoktól eltérő megoldás azokkal egyenértékű vagy kedvezőbb beépítést és településképi megjelenést eredményez-e.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(3) Az építmény, épületrész megjelenésével kialakításával kapcsolatban vizsgálni kell, hogy: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azok építészeti megoldásai megfelelően illeszkednek-e az épített környezethez,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b) a külső megjelenés megfelel-e az e rendelet előírásainak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c) összhangban van-e az épület rendeltetésével és használatának sajátosságaival,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d) megfelelően veszi-e figyelembe a közterület adottságait és esetleges berendezéseit, </w:t>
      </w:r>
      <w:proofErr w:type="spellStart"/>
      <w:r w:rsidRPr="004F61F6">
        <w:rPr>
          <w:rFonts w:ascii="Meiryo" w:eastAsia="Meiryo" w:hAnsi="Meiryo" w:cs="Meiryo"/>
          <w:sz w:val="18"/>
          <w:szCs w:val="18"/>
          <w:lang w:eastAsia="hu-HU"/>
        </w:rPr>
        <w:t>burkolatát</w:t>
      </w:r>
      <w:proofErr w:type="spellEnd"/>
      <w:r w:rsidRPr="004F61F6">
        <w:rPr>
          <w:rFonts w:ascii="Meiryo" w:eastAsia="Meiryo" w:hAnsi="Meiryo" w:cs="Meiryo"/>
          <w:sz w:val="18"/>
          <w:szCs w:val="18"/>
          <w:lang w:eastAsia="hu-HU"/>
        </w:rPr>
        <w:t>, műtárgyait, valamint növényzetét.</w:t>
      </w:r>
    </w:p>
    <w:p w:rsidR="004C3468" w:rsidRPr="004F61F6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b/>
          <w:bCs/>
          <w:sz w:val="18"/>
          <w:szCs w:val="18"/>
          <w:lang w:eastAsia="hu-HU"/>
        </w:rPr>
        <w:t>27. A településképi bejelentési eljárás részletes szabályai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b/>
          <w:bCs/>
          <w:sz w:val="18"/>
          <w:szCs w:val="18"/>
          <w:lang w:eastAsia="hu-HU"/>
        </w:rPr>
        <w:t>37. §</w:t>
      </w:r>
      <w:r w:rsidRPr="004F61F6">
        <w:rPr>
          <w:rFonts w:ascii="Meiryo" w:eastAsia="Meiryo" w:hAnsi="Meiryo" w:cs="Meiryo"/>
          <w:sz w:val="18"/>
          <w:szCs w:val="18"/>
          <w:lang w:eastAsia="hu-HU"/>
        </w:rPr>
        <w:t> (1) A településképi bejelentési eljárás az építtető, vagy az építési tevékenységgel érintett telek, építmény, építményrész tulajdonosa (a továbbiakban együtt: kérelmező) kérelmére indul.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(2) A kérelmet Almásháza Község Polgármesteréhez a </w:t>
      </w:r>
      <w:hyperlink r:id="rId23" w:anchor="SZ26B@BE2" w:tgtFrame="_blank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Korm. rendelet 26/B. § (2)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 és </w:t>
      </w:r>
      <w:hyperlink r:id="rId24" w:anchor="SZ26B@BE3" w:tgtFrame="_blank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(3) bekezdés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ekben meghatározott tartalommal, a </w:t>
      </w:r>
      <w:hyperlink r:id="rId25" w:anchor="SZ35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35. §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 szerinti építési tevékenység megkezdése előtt 15 nappal kell benyújtani, az e rendelet </w:t>
      </w:r>
      <w:hyperlink r:id="rId26" w:anchor="ME3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3. melléklet</w:t>
        </w:r>
      </w:hyperlink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ét képező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 xml:space="preserve"> kérelem benyújtásával.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(3) A polgármester a településképi bejelentési eljárást a </w:t>
      </w:r>
      <w:hyperlink r:id="rId27" w:tgtFrame="_blank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Korm. rendelet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ben meghatározottak szerint folytatja le.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(4) A polgármester a tervezett építési tevékenységet a jogszabályban előírt határidőn belül hatósági határozatban, a </w:t>
      </w:r>
      <w:hyperlink r:id="rId28" w:tgtFrame="_blank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Korm. rendelet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ben megfogalmazott követelmények teljesülésétől függően a </w:t>
      </w:r>
      <w:hyperlink r:id="rId29" w:tgtFrame="_blank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Korm. rendelet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ben foglaltak szerint tudomásul veszi vagy megtiltja.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(5) A polgármester településképi bejelentési eljárásban hozott döntését és a döntés ellenőrzését - amennyiben a településen önkormányzati főépítész van alkalmazásában - az önkormányzati főépítész készíti elő.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(6) A polgármester településképi bejelentési eljárásban hozott döntése ellen Almásháza Község Önkormányzatának Képviselő-testületénél lehet fellebbezéssel élni.</w:t>
      </w:r>
    </w:p>
    <w:p w:rsidR="004C3468" w:rsidRPr="004F61F6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i/>
          <w:iCs/>
          <w:sz w:val="18"/>
          <w:szCs w:val="18"/>
          <w:lang w:eastAsia="hu-HU"/>
        </w:rPr>
        <w:t>VIII. Fejezet</w:t>
      </w:r>
    </w:p>
    <w:p w:rsidR="004C3468" w:rsidRPr="004F61F6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i/>
          <w:iCs/>
          <w:sz w:val="18"/>
          <w:szCs w:val="18"/>
          <w:lang w:eastAsia="hu-HU"/>
        </w:rPr>
        <w:t>A településképi kötelezés, a településkép-védelmi bírság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b/>
          <w:bCs/>
          <w:sz w:val="18"/>
          <w:szCs w:val="18"/>
          <w:lang w:eastAsia="hu-HU"/>
        </w:rPr>
        <w:t>38. §</w:t>
      </w:r>
      <w:r w:rsidRPr="004F61F6">
        <w:rPr>
          <w:rFonts w:ascii="Meiryo" w:eastAsia="Meiryo" w:hAnsi="Meiryo" w:cs="Meiryo"/>
          <w:sz w:val="18"/>
          <w:szCs w:val="18"/>
          <w:lang w:eastAsia="hu-HU"/>
        </w:rPr>
        <w:t> (1) A polgármester a településképi követelmények teljesítése érdekében településképi kötelezési eljárást folytat le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az e rendelet előírásainak nem megfelelő építés, az előírásoktól eltérő szín és anyaghasználat, formai kialakítás,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b) a </w:t>
      </w:r>
      <w:hyperlink r:id="rId30" w:anchor="SZ37@BE2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37. § (2) bekezdés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 szerinti bejelentés elmulasztása,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c) a településképi bejelentési eljárás során meghozott döntésben foglaltak megszegése</w:t>
      </w:r>
    </w:p>
    <w:p w:rsidR="004C3468" w:rsidRPr="004F61F6" w:rsidRDefault="004C3468" w:rsidP="004C3468">
      <w:pPr>
        <w:spacing w:after="0" w:line="192" w:lineRule="auto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esetén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(2) A településképi kötelezési eljárás keretében a polgármester felhívja az ingatlantulajdonos figyelmét a jogszabálysértésre és végzésben megfelelő határidőt biztosít a jogszabálysértés megszüntetésére.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lastRenderedPageBreak/>
        <w:t>(3) A </w:t>
      </w:r>
      <w:hyperlink r:id="rId31" w:anchor="SZ38@BE2" w:history="1">
        <w:r w:rsidRPr="004F61F6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(2) bekezdés</w:t>
        </w:r>
      </w:hyperlink>
      <w:r w:rsidRPr="004F61F6">
        <w:rPr>
          <w:rFonts w:ascii="Meiryo" w:eastAsia="Meiryo" w:hAnsi="Meiryo" w:cs="Meiryo"/>
          <w:sz w:val="18"/>
          <w:szCs w:val="18"/>
          <w:lang w:eastAsia="hu-HU"/>
        </w:rPr>
        <w:t> szerinti határidő eredménytelen eltelte esetén a polgármester – önkormányzati hatósági döntéssel – az ingatlantulajdonost az építmény, építményrész felújítására, átalakítására vagy elbontására kötelezheti, egyidejűleg 1.000.000 forintig terjedő településkép-védelmi bírságot szabhat ki.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(4) A településkép-védelmi bírság kiszabásánál az alábbi szempontokat kell mérlegelni: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a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a jogsértéssel okozott hátrányt, ideértve a hátrány megelőzésével, elhárításával, helyreállításával kapcsolatban felmerült költségeket, illetve a jogsértéssel elért előny mértékét,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b) a jogsértéssel okozott hátrány visszafordíthatóságát,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c) a jogsértéssel érintettek körének nagyságát,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d) a jogsértő állapot időtartamát,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e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a jogsértő magatartás ismétlődését és gyakoriságát,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f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a jogsértést elkövető eljárást segítő, együttműködő magatartását, valamint</w:t>
      </w:r>
    </w:p>
    <w:p w:rsidR="004C3468" w:rsidRPr="004F61F6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proofErr w:type="gramStart"/>
      <w:r w:rsidRPr="004F61F6">
        <w:rPr>
          <w:rFonts w:ascii="Meiryo" w:eastAsia="Meiryo" w:hAnsi="Meiryo" w:cs="Meiryo"/>
          <w:sz w:val="18"/>
          <w:szCs w:val="18"/>
          <w:lang w:eastAsia="hu-HU"/>
        </w:rPr>
        <w:t>g</w:t>
      </w:r>
      <w:proofErr w:type="gramEnd"/>
      <w:r w:rsidRPr="004F61F6">
        <w:rPr>
          <w:rFonts w:ascii="Meiryo" w:eastAsia="Meiryo" w:hAnsi="Meiryo" w:cs="Meiryo"/>
          <w:sz w:val="18"/>
          <w:szCs w:val="18"/>
          <w:lang w:eastAsia="hu-HU"/>
        </w:rPr>
        <w:t>) a jogsértést elkövető gazdasági súlyát.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F61F6">
        <w:rPr>
          <w:rFonts w:ascii="Meiryo" w:eastAsia="Meiryo" w:hAnsi="Meiryo" w:cs="Meiryo"/>
          <w:sz w:val="18"/>
          <w:szCs w:val="18"/>
          <w:lang w:eastAsia="hu-HU"/>
        </w:rPr>
        <w:t>(5) A határidőre be nem fizetett településkép-védelmi bírság behajtására az általános közigazgatási rendtartásról szóló törvény előírásai az irányadók.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IX. Fejezet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i/>
          <w:i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lang w:eastAsia="hu-HU"/>
        </w:rPr>
        <w:t>Záró és átmeneti rendelkezések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b/>
          <w:bCs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28. Hatályba léptető rendelkezések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b/>
          <w:bCs/>
          <w:sz w:val="18"/>
          <w:szCs w:val="18"/>
          <w:lang w:eastAsia="hu-HU"/>
        </w:rPr>
        <w:t>39. §</w:t>
      </w:r>
      <w:r w:rsidRPr="004C3468">
        <w:rPr>
          <w:rFonts w:ascii="Meiryo" w:eastAsia="Meiryo" w:hAnsi="Meiryo" w:cs="Meiryo"/>
          <w:sz w:val="18"/>
          <w:szCs w:val="18"/>
          <w:lang w:eastAsia="hu-HU"/>
        </w:rPr>
        <w:t> (1) E rendelet 2019. február hó 19. napján lép hatályba.</w:t>
      </w:r>
    </w:p>
    <w:p w:rsidR="004C3468" w:rsidRPr="004C3468" w:rsidRDefault="004C3468" w:rsidP="004C3468">
      <w:pPr>
        <w:spacing w:after="0" w:line="192" w:lineRule="auto"/>
        <w:ind w:firstLine="180"/>
        <w:jc w:val="both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>(2) E rendeletet a hatályba lépését követően indult eljárásban kell alkalmazni.</w:t>
      </w:r>
    </w:p>
    <w:p w:rsidR="004C3468" w:rsidRPr="004C3468" w:rsidRDefault="004C3468" w:rsidP="004C3468">
      <w:pPr>
        <w:spacing w:after="0" w:line="192" w:lineRule="auto"/>
        <w:jc w:val="center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Németh Attila polgármester </w:t>
      </w:r>
      <w:proofErr w:type="spellStart"/>
      <w:r w:rsidRPr="004C3468">
        <w:rPr>
          <w:rFonts w:ascii="Meiryo" w:eastAsia="Meiryo" w:hAnsi="Meiryo" w:cs="Meiryo"/>
          <w:sz w:val="18"/>
          <w:szCs w:val="18"/>
          <w:lang w:eastAsia="hu-HU"/>
        </w:rPr>
        <w:t>Kövécsné</w:t>
      </w:r>
      <w:proofErr w:type="spellEnd"/>
      <w:r w:rsidRPr="004C3468">
        <w:rPr>
          <w:rFonts w:ascii="Meiryo" w:eastAsia="Meiryo" w:hAnsi="Meiryo" w:cs="Meiryo"/>
          <w:sz w:val="18"/>
          <w:szCs w:val="18"/>
          <w:lang w:eastAsia="hu-HU"/>
        </w:rPr>
        <w:t xml:space="preserve"> Kozma Györgyi jegyző</w:t>
      </w:r>
    </w:p>
    <w:p w:rsidR="004C3468" w:rsidRPr="004C3468" w:rsidRDefault="004C3468" w:rsidP="004C3468">
      <w:pPr>
        <w:spacing w:after="0" w:line="192" w:lineRule="auto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fldChar w:fldCharType="begin"/>
      </w: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instrText xml:space="preserve"> HYPERLINK "https://or.njt.hu/download/2739/resources/EJR_34277924-A_telep_l_sk_p_v_delm_r_l_1_mell_klet.pdf" </w:instrText>
      </w: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fldChar w:fldCharType="separate"/>
      </w:r>
    </w:p>
    <w:p w:rsidR="004C3468" w:rsidRPr="004C3468" w:rsidRDefault="004C3468" w:rsidP="004C3468">
      <w:pPr>
        <w:spacing w:after="0" w:line="192" w:lineRule="auto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1. melléklet</w:t>
      </w:r>
    </w:p>
    <w:p w:rsidR="004C3468" w:rsidRPr="004C3468" w:rsidRDefault="004C3468" w:rsidP="004C3468">
      <w:pPr>
        <w:spacing w:after="0" w:line="192" w:lineRule="auto"/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fldChar w:fldCharType="end"/>
      </w:r>
    </w:p>
    <w:p w:rsidR="004C3468" w:rsidRPr="004C3468" w:rsidRDefault="004C3468" w:rsidP="004C3468">
      <w:pPr>
        <w:spacing w:after="0" w:line="192" w:lineRule="auto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fldChar w:fldCharType="begin"/>
      </w: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instrText xml:space="preserve"> HYPERLINK "https://or.njt.hu/download/2739/resources/EJR_34277938-A_telep_l_sk_p_v_delm_r_l_2_mell_klet.pdf" </w:instrText>
      </w: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fldChar w:fldCharType="separate"/>
      </w:r>
    </w:p>
    <w:p w:rsidR="004C3468" w:rsidRPr="004C3468" w:rsidRDefault="004C3468" w:rsidP="004C3468">
      <w:pPr>
        <w:spacing w:after="0" w:line="192" w:lineRule="auto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2. melléklet</w:t>
      </w:r>
    </w:p>
    <w:p w:rsidR="004C3468" w:rsidRPr="004C3468" w:rsidRDefault="004C3468" w:rsidP="004C3468">
      <w:pPr>
        <w:spacing w:after="0" w:line="192" w:lineRule="auto"/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fldChar w:fldCharType="end"/>
      </w:r>
    </w:p>
    <w:p w:rsidR="004C3468" w:rsidRPr="004C3468" w:rsidRDefault="004C3468" w:rsidP="004C3468">
      <w:pPr>
        <w:spacing w:after="0" w:line="192" w:lineRule="auto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fldChar w:fldCharType="begin"/>
      </w: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instrText xml:space="preserve"> HYPERLINK "https://or.njt.hu/download/2739/resources/EJR_34277940-A_telep_l_sk_p_v_delm_r_l_3_mell_klet.pdf" </w:instrText>
      </w: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fldChar w:fldCharType="separate"/>
      </w:r>
    </w:p>
    <w:p w:rsidR="004C3468" w:rsidRPr="004C3468" w:rsidRDefault="004C3468" w:rsidP="004C3468">
      <w:pPr>
        <w:spacing w:after="0" w:line="192" w:lineRule="auto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3. melléklet</w:t>
      </w:r>
    </w:p>
    <w:p w:rsidR="004C3468" w:rsidRPr="004C3468" w:rsidRDefault="004C3468" w:rsidP="004C3468">
      <w:pPr>
        <w:spacing w:after="0" w:line="192" w:lineRule="auto"/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fldChar w:fldCharType="end"/>
      </w:r>
    </w:p>
    <w:p w:rsidR="004C3468" w:rsidRPr="004C3468" w:rsidRDefault="004C3468" w:rsidP="004C3468">
      <w:pPr>
        <w:spacing w:after="0" w:line="192" w:lineRule="auto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fldChar w:fldCharType="begin"/>
      </w: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instrText xml:space="preserve"> HYPERLINK "https://or.njt.hu/download/2739/resources/EJR_34277947-A_telep_l_sk_p_v_delm_r_l_f_ggel_k.pdf" </w:instrText>
      </w: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fldChar w:fldCharType="separate"/>
      </w:r>
    </w:p>
    <w:p w:rsidR="004C3468" w:rsidRPr="004C3468" w:rsidRDefault="004C3468" w:rsidP="004C3468">
      <w:pPr>
        <w:spacing w:after="0" w:line="192" w:lineRule="auto"/>
        <w:rPr>
          <w:rFonts w:ascii="Meiryo" w:eastAsia="Meiryo" w:hAnsi="Meiryo" w:cs="Meiryo"/>
          <w:sz w:val="18"/>
          <w:szCs w:val="18"/>
          <w:lang w:eastAsia="hu-HU"/>
        </w:rPr>
      </w:pPr>
      <w:r w:rsidRPr="004C3468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1. függelék a 3. melléklethez</w:t>
      </w:r>
    </w:p>
    <w:p w:rsidR="004C3468" w:rsidRPr="004C3468" w:rsidRDefault="004C3468" w:rsidP="004C3468">
      <w:pPr>
        <w:spacing w:after="0" w:line="192" w:lineRule="auto"/>
        <w:rPr>
          <w:rFonts w:ascii="Times New Roman" w:eastAsia="Times New Roman" w:hAnsi="Times New Roman" w:cs="Times New Roman"/>
          <w:i/>
          <w:iCs/>
          <w:sz w:val="36"/>
          <w:szCs w:val="36"/>
          <w:u w:val="single"/>
          <w:lang w:eastAsia="hu-HU"/>
        </w:rPr>
      </w:pPr>
      <w:r w:rsidRPr="004C3468">
        <w:rPr>
          <w:rFonts w:ascii="Meiryo" w:eastAsia="Meiryo" w:hAnsi="Meiryo" w:cs="Meiryo"/>
          <w:i/>
          <w:iCs/>
          <w:sz w:val="18"/>
          <w:szCs w:val="18"/>
          <w:u w:val="single"/>
          <w:lang w:eastAsia="hu-HU"/>
        </w:rPr>
        <w:fldChar w:fldCharType="end"/>
      </w:r>
    </w:p>
    <w:p w:rsidR="00351308" w:rsidRDefault="00351308"/>
    <w:sectPr w:rsidR="00351308" w:rsidSect="004C34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vantGarde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vantGarde Bk BT">
    <w:panose1 w:val="020B0402020202020204"/>
    <w:charset w:val="00"/>
    <w:family w:val="swiss"/>
    <w:pitch w:val="variable"/>
    <w:sig w:usb0="00000087" w:usb1="00000000" w:usb2="00000000" w:usb3="00000000" w:csb0="0000001B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ED0924"/>
    <w:multiLevelType w:val="multilevel"/>
    <w:tmpl w:val="995A9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D67E17"/>
    <w:multiLevelType w:val="multilevel"/>
    <w:tmpl w:val="0AD85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0E2"/>
    <w:rsid w:val="001A3F34"/>
    <w:rsid w:val="002950E2"/>
    <w:rsid w:val="002F49AC"/>
    <w:rsid w:val="00351308"/>
    <w:rsid w:val="004C3468"/>
    <w:rsid w:val="004F61F6"/>
    <w:rsid w:val="007466C2"/>
    <w:rsid w:val="00C86AAD"/>
    <w:rsid w:val="00ED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4CFBA"/>
  <w15:chartTrackingRefBased/>
  <w15:docId w15:val="{26F06789-9D91-4B70-BFE6-E750DF517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="Arial"/>
        <w:sz w:val="19"/>
        <w:szCs w:val="19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466C2"/>
  </w:style>
  <w:style w:type="paragraph" w:styleId="Cmsor1">
    <w:name w:val="heading 1"/>
    <w:basedOn w:val="Norml"/>
    <w:next w:val="Norml"/>
    <w:link w:val="Cmsor1Char"/>
    <w:uiPriority w:val="9"/>
    <w:qFormat/>
    <w:rsid w:val="007466C2"/>
    <w:pPr>
      <w:keepNext/>
      <w:keepLines/>
      <w:spacing w:before="240" w:after="0"/>
      <w:outlineLvl w:val="0"/>
    </w:pPr>
    <w:rPr>
      <w:rFonts w:ascii="AvantGarde-Book" w:eastAsiaTheme="majorEastAsia" w:hAnsi="AvantGarde-Book" w:cstheme="majorBidi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466C2"/>
    <w:rPr>
      <w:rFonts w:ascii="AvantGarde-Book" w:eastAsiaTheme="majorEastAsia" w:hAnsi="AvantGarde-Book" w:cstheme="majorBidi"/>
      <w:sz w:val="32"/>
      <w:szCs w:val="32"/>
    </w:rPr>
  </w:style>
  <w:style w:type="paragraph" w:customStyle="1" w:styleId="Cm3">
    <w:name w:val="Cím 3"/>
    <w:basedOn w:val="Norml"/>
    <w:qFormat/>
    <w:rsid w:val="007466C2"/>
    <w:pPr>
      <w:spacing w:after="60"/>
      <w:outlineLvl w:val="0"/>
    </w:pPr>
    <w:rPr>
      <w:rFonts w:ascii="AvantGarde Bk BT" w:hAnsi="AvantGarde Bk BT"/>
      <w:sz w:val="32"/>
      <w:szCs w:val="24"/>
    </w:rPr>
  </w:style>
  <w:style w:type="paragraph" w:customStyle="1" w:styleId="Default">
    <w:name w:val="Default"/>
    <w:qFormat/>
    <w:rsid w:val="001A3F34"/>
    <w:pPr>
      <w:autoSpaceDE w:val="0"/>
      <w:autoSpaceDN w:val="0"/>
      <w:adjustRightInd w:val="0"/>
      <w:spacing w:after="0"/>
      <w:jc w:val="both"/>
    </w:pPr>
    <w:rPr>
      <w:rFonts w:cs="Calibri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8717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79273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676742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731149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7982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508971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9025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222346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193967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811286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778374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8102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924811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234354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775081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480479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936850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37101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0850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67683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435219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97352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5698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29738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953963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50028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152261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989195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744648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763180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557449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823469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712020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931076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076730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502608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846803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755070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366714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40732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79877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043695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423108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666751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27060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712260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5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360531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750439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93533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82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356871">
              <w:marLeft w:val="0"/>
              <w:marRight w:val="0"/>
              <w:marTop w:val="0"/>
              <w:marBottom w:val="0"/>
              <w:divBdr>
                <w:top w:val="single" w:sz="6" w:space="7" w:color="FFEEBA"/>
                <w:left w:val="single" w:sz="6" w:space="7" w:color="FFEEBA"/>
                <w:bottom w:val="single" w:sz="6" w:space="7" w:color="FFEEBA"/>
                <w:right w:val="single" w:sz="6" w:space="7" w:color="FFEEBA"/>
              </w:divBdr>
            </w:div>
          </w:divsChild>
        </w:div>
        <w:div w:id="1326669068">
          <w:marLeft w:val="0"/>
          <w:marRight w:val="0"/>
          <w:marTop w:val="0"/>
          <w:marBottom w:val="0"/>
          <w:divBdr>
            <w:top w:val="single" w:sz="6" w:space="0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jt.hu/jogszabaly/2017-104-20-22" TargetMode="External"/><Relationship Id="rId18" Type="http://schemas.openxmlformats.org/officeDocument/2006/relationships/hyperlink" Target="https://or.njt.hu/eli/437596/r/2019/1" TargetMode="External"/><Relationship Id="rId26" Type="http://schemas.openxmlformats.org/officeDocument/2006/relationships/hyperlink" Target="https://or.njt.hu/eli/437596/r/2019/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jt.hu/jogszabaly/2012-314-20-22" TargetMode="External"/><Relationship Id="rId7" Type="http://schemas.openxmlformats.org/officeDocument/2006/relationships/hyperlink" Target="https://or.njt.hu/eli/437596/r/2019/1" TargetMode="External"/><Relationship Id="rId12" Type="http://schemas.openxmlformats.org/officeDocument/2006/relationships/hyperlink" Target="https://or.njt.hu/eli/437596/r/2019/1" TargetMode="External"/><Relationship Id="rId17" Type="http://schemas.openxmlformats.org/officeDocument/2006/relationships/hyperlink" Target="https://or.njt.hu/eli/437596/r/2019/1" TargetMode="External"/><Relationship Id="rId25" Type="http://schemas.openxmlformats.org/officeDocument/2006/relationships/hyperlink" Target="https://or.njt.hu/eli/437596/r/2019/1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or.njt.hu/eli/437596/r/2019/1" TargetMode="External"/><Relationship Id="rId20" Type="http://schemas.openxmlformats.org/officeDocument/2006/relationships/hyperlink" Target="https://njt.hu/jogszabaly/2012-314-20-22" TargetMode="External"/><Relationship Id="rId29" Type="http://schemas.openxmlformats.org/officeDocument/2006/relationships/hyperlink" Target="https://njt.hu/jogszabaly/2012-314-20-2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jt.hu/jogszabaly/2011-4301-02-00" TargetMode="External"/><Relationship Id="rId11" Type="http://schemas.openxmlformats.org/officeDocument/2006/relationships/hyperlink" Target="https://or.njt.hu/eli/437596/r/2019/1" TargetMode="External"/><Relationship Id="rId24" Type="http://schemas.openxmlformats.org/officeDocument/2006/relationships/hyperlink" Target="https://njt.hu/jogszabaly/2012-314-20-22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njt.hu/jogszabaly/2016-74-00-00" TargetMode="External"/><Relationship Id="rId15" Type="http://schemas.openxmlformats.org/officeDocument/2006/relationships/hyperlink" Target="https://njt.hu/jogszabaly/2012-314-20-22" TargetMode="External"/><Relationship Id="rId23" Type="http://schemas.openxmlformats.org/officeDocument/2006/relationships/hyperlink" Target="https://njt.hu/jogszabaly/2012-314-20-22" TargetMode="External"/><Relationship Id="rId28" Type="http://schemas.openxmlformats.org/officeDocument/2006/relationships/hyperlink" Target="https://njt.hu/jogszabaly/2012-314-20-22" TargetMode="External"/><Relationship Id="rId10" Type="http://schemas.openxmlformats.org/officeDocument/2006/relationships/hyperlink" Target="https://or.njt.hu/eli/437596/r/2019/1" TargetMode="External"/><Relationship Id="rId19" Type="http://schemas.openxmlformats.org/officeDocument/2006/relationships/hyperlink" Target="https://njt.hu/jogszabaly/2012-314-20-22" TargetMode="External"/><Relationship Id="rId31" Type="http://schemas.openxmlformats.org/officeDocument/2006/relationships/hyperlink" Target="https://or.njt.hu/eli/437596/r/2019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r.njt.hu/eli/437596/r/2019/1" TargetMode="External"/><Relationship Id="rId14" Type="http://schemas.openxmlformats.org/officeDocument/2006/relationships/hyperlink" Target="https://or.njt.hu/eli/437596/r/2019/1" TargetMode="External"/><Relationship Id="rId22" Type="http://schemas.openxmlformats.org/officeDocument/2006/relationships/hyperlink" Target="https://or.njt.hu/eli/437596/r/2019/1" TargetMode="External"/><Relationship Id="rId27" Type="http://schemas.openxmlformats.org/officeDocument/2006/relationships/hyperlink" Target="https://njt.hu/jogszabaly/2012-314-20-22" TargetMode="External"/><Relationship Id="rId30" Type="http://schemas.openxmlformats.org/officeDocument/2006/relationships/hyperlink" Target="https://or.njt.hu/eli/437596/r/2019/1" TargetMode="External"/><Relationship Id="rId8" Type="http://schemas.openxmlformats.org/officeDocument/2006/relationships/hyperlink" Target="https://or.njt.hu/eli/437596/r/2019/1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4657</Words>
  <Characters>32137</Characters>
  <Application>Microsoft Office Word</Application>
  <DocSecurity>0</DocSecurity>
  <Lines>267</Lines>
  <Paragraphs>73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</dc:creator>
  <cp:keywords/>
  <dc:description/>
  <cp:lastModifiedBy>Erika</cp:lastModifiedBy>
  <cp:revision>6</cp:revision>
  <dcterms:created xsi:type="dcterms:W3CDTF">2025-03-23T17:23:00Z</dcterms:created>
  <dcterms:modified xsi:type="dcterms:W3CDTF">2026-01-29T07:18:00Z</dcterms:modified>
</cp:coreProperties>
</file>